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02A4" w14:textId="77777777" w:rsidR="00E27AF0" w:rsidRDefault="00F9113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Master Plan Amendment Process</w:t>
      </w:r>
      <w:r w:rsidR="00904043">
        <w:rPr>
          <w:rFonts w:ascii="Helvetica" w:hAnsi="Helvetica"/>
          <w:sz w:val="22"/>
        </w:rPr>
        <w:t xml:space="preserve"> &amp; Update</w:t>
      </w:r>
      <w:r w:rsidR="00E16175">
        <w:rPr>
          <w:rFonts w:ascii="Helvetica" w:hAnsi="Helvetica"/>
          <w:sz w:val="22"/>
        </w:rPr>
        <w:t xml:space="preserve"> – Executive Summary</w:t>
      </w:r>
    </w:p>
    <w:p w14:paraId="38EB0CAB" w14:textId="77777777" w:rsidR="00E16175" w:rsidRDefault="0090404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is the Master Plan</w:t>
      </w:r>
      <w:r w:rsidR="00BC7290">
        <w:rPr>
          <w:rFonts w:ascii="Helvetica" w:hAnsi="Helvetica"/>
          <w:sz w:val="22"/>
        </w:rPr>
        <w:t xml:space="preserve"> and what is the amendment p</w:t>
      </w:r>
      <w:r>
        <w:rPr>
          <w:rFonts w:ascii="Helvetica" w:hAnsi="Helvetica"/>
          <w:sz w:val="22"/>
        </w:rPr>
        <w:t>rocess?</w:t>
      </w:r>
    </w:p>
    <w:p w14:paraId="2C51D3B7" w14:textId="77777777" w:rsidR="00E16175" w:rsidRPr="00904043" w:rsidRDefault="00E16175" w:rsidP="00904043">
      <w:pPr>
        <w:pStyle w:val="ListParagraph"/>
        <w:numPr>
          <w:ilvl w:val="0"/>
          <w:numId w:val="1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It is a policy guide for New Orleans future growth.  As such it doe NOT regulate the use of land.  The Comprehensive Zoning Ordinance (CZO) regulates land use.</w:t>
      </w:r>
      <w:r w:rsidR="00904043">
        <w:rPr>
          <w:rFonts w:ascii="Helvetica" w:hAnsi="Helvetica"/>
          <w:sz w:val="22"/>
        </w:rPr>
        <w:t xml:space="preserve">  The Future Land Use Map (FLUM) and the Land Use Element of the Master Plan are utilized for consistency in zoning changes.</w:t>
      </w:r>
    </w:p>
    <w:p w14:paraId="5A33D3EB" w14:textId="77777777" w:rsidR="00E16175" w:rsidRDefault="00E16175" w:rsidP="00E16175">
      <w:pPr>
        <w:pStyle w:val="ListParagraph"/>
        <w:numPr>
          <w:ilvl w:val="0"/>
          <w:numId w:val="1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city charter requires updates to the Master Plan every five years.</w:t>
      </w:r>
    </w:p>
    <w:p w14:paraId="1155C04E" w14:textId="77777777" w:rsidR="00904043" w:rsidRDefault="00904043" w:rsidP="00E16175">
      <w:pPr>
        <w:pStyle w:val="ListParagraph"/>
        <w:numPr>
          <w:ilvl w:val="0"/>
          <w:numId w:val="1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City Planning Commission (CPC) initiated the update process in late 2016 with public meetings held in each planning district.</w:t>
      </w:r>
    </w:p>
    <w:p w14:paraId="21BF3353" w14:textId="77777777" w:rsidR="00904043" w:rsidRDefault="00904043" w:rsidP="00E16175">
      <w:pPr>
        <w:pStyle w:val="ListParagraph"/>
        <w:numPr>
          <w:ilvl w:val="0"/>
          <w:numId w:val="1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Two public hearings (attended by the GDA’s planning consultant) were held by the CPC:  (1) January 24, 2017 and (2) February 7, 2017 in which recommendations were forwarded to the New Orleans City Council.</w:t>
      </w:r>
    </w:p>
    <w:p w14:paraId="3F20B977" w14:textId="77777777" w:rsidR="00904043" w:rsidRDefault="00904043" w:rsidP="00E16175">
      <w:pPr>
        <w:pStyle w:val="ListParagraph"/>
        <w:numPr>
          <w:ilvl w:val="0"/>
          <w:numId w:val="1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City Council has not held a public hearin</w:t>
      </w:r>
      <w:r w:rsidR="00BC7290">
        <w:rPr>
          <w:rFonts w:ascii="Helvetica" w:hAnsi="Helvetica"/>
          <w:sz w:val="22"/>
        </w:rPr>
        <w:t>g on the amendments to date but</w:t>
      </w:r>
      <w:r>
        <w:rPr>
          <w:rFonts w:ascii="Helvetica" w:hAnsi="Helvetica"/>
          <w:sz w:val="22"/>
        </w:rPr>
        <w:t xml:space="preserve"> must act no later than July 27, 2017.</w:t>
      </w:r>
    </w:p>
    <w:p w14:paraId="6577DA8D" w14:textId="77777777" w:rsidR="00854AAB" w:rsidRDefault="00854AAB" w:rsidP="00E16175">
      <w:pPr>
        <w:pStyle w:val="ListParagraph"/>
        <w:numPr>
          <w:ilvl w:val="0"/>
          <w:numId w:val="1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GDA has written letters to the CPC and City Council stating positions on the various amendments.</w:t>
      </w:r>
    </w:p>
    <w:p w14:paraId="420848A3" w14:textId="77777777" w:rsidR="00E16175" w:rsidRPr="00904043" w:rsidRDefault="00BC7290" w:rsidP="0090404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specific amendments to</w:t>
      </w:r>
      <w:r w:rsidR="00904043">
        <w:rPr>
          <w:rFonts w:ascii="Helvetica" w:hAnsi="Helvetica"/>
          <w:sz w:val="22"/>
        </w:rPr>
        <w:t xml:space="preserve"> the Master Plan affect the Garden District neighborhood?</w:t>
      </w:r>
    </w:p>
    <w:p w14:paraId="52D760E4" w14:textId="3709D9A1" w:rsidR="00F91133" w:rsidRDefault="00BC7290" w:rsidP="00904043">
      <w:pPr>
        <w:pStyle w:val="ListParagraph"/>
        <w:numPr>
          <w:ilvl w:val="0"/>
          <w:numId w:val="2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Of the 200+ FLUM applications submitted to the CPC, 12 applications have implications for change to the Garden District neighborh</w:t>
      </w:r>
      <w:r w:rsidR="00CD6322">
        <w:rPr>
          <w:rFonts w:ascii="Helvetica" w:hAnsi="Helvetica"/>
          <w:sz w:val="22"/>
        </w:rPr>
        <w:t>ood as noted in the table below, that also indicates the CPC recommendation and the GDA’s position.</w:t>
      </w:r>
    </w:p>
    <w:p w14:paraId="2BACF634" w14:textId="6354D519" w:rsidR="00BC7290" w:rsidRDefault="00BC7290" w:rsidP="00904043">
      <w:pPr>
        <w:pStyle w:val="ListParagraph"/>
        <w:numPr>
          <w:ilvl w:val="0"/>
          <w:numId w:val="2"/>
        </w:numPr>
        <w:ind w:left="216" w:hanging="21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Over 100+ text amendment applications were submitted to the CPC.  The GDA has </w:t>
      </w:r>
      <w:r w:rsidRPr="004327CA">
        <w:rPr>
          <w:rFonts w:ascii="Helvetica" w:hAnsi="Helvetica"/>
          <w:b/>
          <w:sz w:val="22"/>
          <w:u w:val="single"/>
        </w:rPr>
        <w:t>opposed</w:t>
      </w:r>
      <w:r w:rsidR="00F75ED3">
        <w:rPr>
          <w:rFonts w:ascii="Helvetica" w:hAnsi="Helvetica"/>
          <w:sz w:val="22"/>
        </w:rPr>
        <w:t xml:space="preserve"> three</w:t>
      </w:r>
      <w:r>
        <w:rPr>
          <w:rFonts w:ascii="Helvetica" w:hAnsi="Helvetica"/>
          <w:sz w:val="22"/>
        </w:rPr>
        <w:t xml:space="preserve"> specific text amendments</w:t>
      </w:r>
      <w:r w:rsidR="00854AAB">
        <w:rPr>
          <w:rFonts w:ascii="Helvetica" w:hAnsi="Helvetica"/>
          <w:sz w:val="22"/>
        </w:rPr>
        <w:t xml:space="preserve"> as follows:</w:t>
      </w:r>
    </w:p>
    <w:p w14:paraId="2AE40719" w14:textId="77777777" w:rsidR="00B43EA1" w:rsidRPr="00136AF9" w:rsidRDefault="00B43EA1" w:rsidP="00B43EA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2"/>
        </w:rPr>
      </w:pPr>
      <w:r w:rsidRPr="00B43EA1">
        <w:rPr>
          <w:rFonts w:ascii="Helvetica" w:hAnsi="Helvetica"/>
          <w:sz w:val="22"/>
        </w:rPr>
        <w:t>Request No. 14-22Section A</w:t>
      </w:r>
      <w:r>
        <w:rPr>
          <w:rFonts w:ascii="Helvetica" w:hAnsi="Helvetica"/>
          <w:sz w:val="22"/>
        </w:rPr>
        <w:t xml:space="preserve"> - </w:t>
      </w:r>
      <w:r w:rsidRPr="00136AF9">
        <w:rPr>
          <w:rFonts w:ascii="Helvetica" w:hAnsi="Helvetica"/>
          <w:sz w:val="22"/>
        </w:rPr>
        <w:t xml:space="preserve">The Land Use Plan and the “Force of Law”:  </w:t>
      </w:r>
      <w:r>
        <w:rPr>
          <w:rFonts w:ascii="Helvetica" w:hAnsi="Helvetica"/>
          <w:sz w:val="22"/>
        </w:rPr>
        <w:t>T</w:t>
      </w:r>
      <w:r w:rsidRPr="00136AF9">
        <w:rPr>
          <w:rFonts w:ascii="Helvetica" w:hAnsi="Helvetica"/>
          <w:sz w:val="22"/>
        </w:rPr>
        <w:t xml:space="preserve">he CPC proposed amendment </w:t>
      </w:r>
      <w:r>
        <w:rPr>
          <w:rFonts w:ascii="Helvetica" w:hAnsi="Helvetica"/>
          <w:sz w:val="22"/>
        </w:rPr>
        <w:t>would give</w:t>
      </w:r>
      <w:r w:rsidRPr="00136AF9">
        <w:rPr>
          <w:rFonts w:ascii="Helvetica" w:hAnsi="Helvetica"/>
          <w:sz w:val="22"/>
        </w:rPr>
        <w:t xml:space="preserve"> the Executive Director or his designee authority to make final decisions on minor map amendments and final decisions on interpretations of the FLUM. </w:t>
      </w:r>
    </w:p>
    <w:p w14:paraId="6AC2AD4B" w14:textId="77777777" w:rsidR="00B43EA1" w:rsidRPr="007A7CE6" w:rsidRDefault="00B43EA1" w:rsidP="00B43EA1">
      <w:pPr>
        <w:pStyle w:val="ListParagraph"/>
        <w:numPr>
          <w:ilvl w:val="0"/>
          <w:numId w:val="5"/>
        </w:numPr>
        <w:rPr>
          <w:rFonts w:ascii="Helvetica" w:hAnsi="Helvetica"/>
          <w:i/>
          <w:sz w:val="22"/>
        </w:rPr>
      </w:pPr>
      <w:r w:rsidRPr="00B43EA1">
        <w:rPr>
          <w:rFonts w:ascii="Helvetica" w:hAnsi="Helvetica"/>
          <w:sz w:val="22"/>
        </w:rPr>
        <w:t>Request No. 14-17, Section C</w:t>
      </w:r>
      <w:r>
        <w:rPr>
          <w:rFonts w:ascii="Helvetica" w:hAnsi="Helvetica"/>
          <w:sz w:val="22"/>
        </w:rPr>
        <w:t xml:space="preserve"> -</w:t>
      </w:r>
      <w:r w:rsidRPr="00136AF9">
        <w:rPr>
          <w:rFonts w:ascii="Helvetica" w:hAnsi="Helvetica"/>
          <w:sz w:val="22"/>
        </w:rPr>
        <w:t xml:space="preserve"> Future Land Use Categories:  </w:t>
      </w:r>
      <w:r>
        <w:rPr>
          <w:rFonts w:ascii="Helvetica" w:hAnsi="Helvetica"/>
          <w:sz w:val="22"/>
        </w:rPr>
        <w:t>The proposed amendment submitted by at-large councilmembers and the administration was recommended for approval by the CPC.  It would remove</w:t>
      </w:r>
      <w:r w:rsidRPr="00136AF9">
        <w:rPr>
          <w:rFonts w:ascii="Helvetica" w:hAnsi="Helvetica"/>
          <w:sz w:val="22"/>
        </w:rPr>
        <w:t xml:space="preserve"> the density limitations for all residential land use categories.  The density limitations provide an overall goal for the development character of neighborhoods and thus should remain in the Master Plan.  </w:t>
      </w:r>
    </w:p>
    <w:p w14:paraId="39DAD049" w14:textId="77777777" w:rsidR="004327CA" w:rsidRDefault="004327CA" w:rsidP="004327CA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4327CA">
        <w:rPr>
          <w:rFonts w:ascii="Helvetica" w:hAnsi="Helvetica"/>
          <w:sz w:val="22"/>
        </w:rPr>
        <w:t>Request No. 14-15 and 14-16, Section C</w:t>
      </w:r>
      <w:r>
        <w:rPr>
          <w:rFonts w:ascii="Helvetica" w:hAnsi="Helvetica"/>
          <w:sz w:val="22"/>
        </w:rPr>
        <w:t xml:space="preserve"> - </w:t>
      </w:r>
      <w:r w:rsidRPr="00136AF9">
        <w:rPr>
          <w:rFonts w:ascii="Helvetica" w:hAnsi="Helvetica"/>
          <w:sz w:val="22"/>
        </w:rPr>
        <w:t xml:space="preserve">Future Land Use Categories, Residential Pre-War Low Density (RLD-PRE): </w:t>
      </w:r>
      <w:r>
        <w:rPr>
          <w:rFonts w:ascii="Helvetica" w:hAnsi="Helvetica"/>
          <w:sz w:val="22"/>
        </w:rPr>
        <w:t xml:space="preserve"> The proposed amendment (submitted by CM Cantrell) would allow small multi-family residential uses and re-use of commercial sites.  The CPC recommended approval of the amendment.</w:t>
      </w:r>
    </w:p>
    <w:p w14:paraId="256DE788" w14:textId="2D1D035A" w:rsidR="00854AAB" w:rsidRPr="00F75ED3" w:rsidRDefault="00F75ED3" w:rsidP="00113288">
      <w:pPr>
        <w:pStyle w:val="ListParagraph"/>
        <w:numPr>
          <w:ilvl w:val="0"/>
          <w:numId w:val="9"/>
        </w:numPr>
        <w:ind w:left="216" w:hanging="216"/>
        <w:rPr>
          <w:rFonts w:ascii="Helvetica" w:hAnsi="Helvetica"/>
          <w:sz w:val="22"/>
        </w:rPr>
      </w:pPr>
      <w:bookmarkStart w:id="0" w:name="_GoBack"/>
      <w:bookmarkEnd w:id="0"/>
      <w:r w:rsidRPr="00F75ED3">
        <w:rPr>
          <w:rFonts w:ascii="Helvetica" w:hAnsi="Helvetica"/>
          <w:sz w:val="22"/>
        </w:rPr>
        <w:t xml:space="preserve">The GDA has </w:t>
      </w:r>
      <w:r w:rsidRPr="00F75ED3">
        <w:rPr>
          <w:rFonts w:ascii="Helvetica" w:hAnsi="Helvetica"/>
          <w:b/>
          <w:sz w:val="22"/>
          <w:u w:val="single"/>
        </w:rPr>
        <w:t>supported</w:t>
      </w:r>
      <w:r w:rsidRPr="00F75ED3">
        <w:rPr>
          <w:rFonts w:ascii="Helvetica" w:hAnsi="Helvetica"/>
          <w:sz w:val="22"/>
        </w:rPr>
        <w:t xml:space="preserve"> the following text amendment:</w:t>
      </w:r>
    </w:p>
    <w:p w14:paraId="6DF6CF26" w14:textId="77777777" w:rsidR="00F75ED3" w:rsidRDefault="00F75ED3" w:rsidP="00F75ED3">
      <w:pPr>
        <w:pStyle w:val="ListParagraph"/>
        <w:numPr>
          <w:ilvl w:val="0"/>
          <w:numId w:val="10"/>
        </w:numPr>
        <w:rPr>
          <w:rFonts w:ascii="Helvetica" w:hAnsi="Helvetica"/>
          <w:sz w:val="22"/>
        </w:rPr>
      </w:pPr>
      <w:r w:rsidRPr="00F75ED3">
        <w:rPr>
          <w:rFonts w:ascii="Helvetica" w:hAnsi="Helvetica"/>
          <w:sz w:val="22"/>
        </w:rPr>
        <w:t>Request No. 14-17, Section C</w:t>
      </w:r>
      <w:r>
        <w:rPr>
          <w:rFonts w:ascii="Helvetica" w:hAnsi="Helvetica"/>
          <w:sz w:val="22"/>
        </w:rPr>
        <w:t xml:space="preserve"> -</w:t>
      </w:r>
      <w:r w:rsidRPr="00136AF9">
        <w:rPr>
          <w:rFonts w:ascii="Helvetica" w:hAnsi="Helvetica"/>
          <w:sz w:val="22"/>
        </w:rPr>
        <w:t xml:space="preserve"> Future Land Use Categories, MUL (Mixed-Use Low Density) and MUM (Mixed-Use Medium Density):  </w:t>
      </w:r>
      <w:r>
        <w:rPr>
          <w:rFonts w:ascii="Helvetica" w:hAnsi="Helvetica"/>
          <w:sz w:val="22"/>
        </w:rPr>
        <w:t>The proposed amendment submitted by the administration would merge two of the mixed-use land use categories.  The CPC recommended denial.</w:t>
      </w:r>
    </w:p>
    <w:p w14:paraId="2CED77E3" w14:textId="77777777" w:rsidR="00F75ED3" w:rsidRPr="00F75ED3" w:rsidRDefault="00F75ED3" w:rsidP="00F75ED3">
      <w:pPr>
        <w:rPr>
          <w:rFonts w:ascii="Helvetica" w:hAnsi="Helvetica"/>
          <w:sz w:val="22"/>
        </w:rPr>
      </w:pPr>
    </w:p>
    <w:p w14:paraId="0458208E" w14:textId="77777777" w:rsidR="00F91133" w:rsidRPr="00F91133" w:rsidRDefault="00F91133">
      <w:pPr>
        <w:rPr>
          <w:rFonts w:ascii="Helvetica" w:hAnsi="Helvetica"/>
          <w:sz w:val="22"/>
        </w:rPr>
      </w:pPr>
    </w:p>
    <w:sectPr w:rsidR="00F91133" w:rsidRPr="00F91133" w:rsidSect="00E27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26C"/>
    <w:multiLevelType w:val="hybridMultilevel"/>
    <w:tmpl w:val="A988497A"/>
    <w:lvl w:ilvl="0" w:tplc="F5F42F50">
      <w:start w:val="1"/>
      <w:numFmt w:val="decimal"/>
      <w:lvlText w:val="(%1)"/>
      <w:lvlJc w:val="left"/>
      <w:pPr>
        <w:ind w:left="57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0D0A7955"/>
    <w:multiLevelType w:val="hybridMultilevel"/>
    <w:tmpl w:val="FD86A528"/>
    <w:lvl w:ilvl="0" w:tplc="F5F42F50">
      <w:start w:val="1"/>
      <w:numFmt w:val="decimal"/>
      <w:lvlText w:val="(%1)"/>
      <w:lvlJc w:val="left"/>
      <w:pPr>
        <w:ind w:left="57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441"/>
    <w:multiLevelType w:val="multilevel"/>
    <w:tmpl w:val="7D22F9EE"/>
    <w:lvl w:ilvl="0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307534ED"/>
    <w:multiLevelType w:val="hybridMultilevel"/>
    <w:tmpl w:val="47BA2A8C"/>
    <w:lvl w:ilvl="0" w:tplc="F5F42F50">
      <w:start w:val="1"/>
      <w:numFmt w:val="decimal"/>
      <w:lvlText w:val="(%1)"/>
      <w:lvlJc w:val="left"/>
      <w:pPr>
        <w:ind w:left="576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367B5391"/>
    <w:multiLevelType w:val="hybridMultilevel"/>
    <w:tmpl w:val="302EB9DA"/>
    <w:lvl w:ilvl="0" w:tplc="E724E4B4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>
    <w:nsid w:val="40971051"/>
    <w:multiLevelType w:val="hybridMultilevel"/>
    <w:tmpl w:val="3C841CB2"/>
    <w:lvl w:ilvl="0" w:tplc="E724E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F73EA"/>
    <w:multiLevelType w:val="hybridMultilevel"/>
    <w:tmpl w:val="326E18F8"/>
    <w:lvl w:ilvl="0" w:tplc="E724E4B4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5DFB3E79"/>
    <w:multiLevelType w:val="hybridMultilevel"/>
    <w:tmpl w:val="858E0BDC"/>
    <w:lvl w:ilvl="0" w:tplc="845AF7D6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6D3018E5"/>
    <w:multiLevelType w:val="hybridMultilevel"/>
    <w:tmpl w:val="A354789E"/>
    <w:lvl w:ilvl="0" w:tplc="E724E4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96774"/>
    <w:multiLevelType w:val="hybridMultilevel"/>
    <w:tmpl w:val="17348F04"/>
    <w:lvl w:ilvl="0" w:tplc="E724E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3"/>
    <w:rsid w:val="00113288"/>
    <w:rsid w:val="004327CA"/>
    <w:rsid w:val="006756DE"/>
    <w:rsid w:val="00854AAB"/>
    <w:rsid w:val="00904043"/>
    <w:rsid w:val="00B43EA1"/>
    <w:rsid w:val="00BC7290"/>
    <w:rsid w:val="00CD6322"/>
    <w:rsid w:val="00E16175"/>
    <w:rsid w:val="00E27AF0"/>
    <w:rsid w:val="00F75ED3"/>
    <w:rsid w:val="00F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0A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2333</Characters>
  <Application>Microsoft Macintosh Word</Application>
  <DocSecurity>0</DocSecurity>
  <Lines>19</Lines>
  <Paragraphs>5</Paragraphs>
  <ScaleCrop>false</ScaleCrop>
  <Company>Fernandez Plans, LLC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Fernandez, FAICP</dc:creator>
  <cp:keywords/>
  <dc:description/>
  <cp:lastModifiedBy>Karen B. Fernandez, FAICP</cp:lastModifiedBy>
  <cp:revision>8</cp:revision>
  <dcterms:created xsi:type="dcterms:W3CDTF">2017-05-23T18:30:00Z</dcterms:created>
  <dcterms:modified xsi:type="dcterms:W3CDTF">2017-05-23T19:46:00Z</dcterms:modified>
</cp:coreProperties>
</file>